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6C2AD" w14:textId="77777777" w:rsidR="00A42E2C" w:rsidRPr="00A42E2C" w:rsidRDefault="00A42E2C" w:rsidP="00A42E2C">
      <w:pPr>
        <w:rPr>
          <w:b/>
          <w:bCs/>
        </w:rPr>
      </w:pPr>
      <w:r w:rsidRPr="00A42E2C">
        <w:rPr>
          <w:b/>
          <w:bCs/>
        </w:rPr>
        <w:t>IRS issues standard mileage rates for 2021</w:t>
      </w:r>
    </w:p>
    <w:p w14:paraId="656FAA46" w14:textId="77777777" w:rsidR="00A42E2C" w:rsidRPr="00A42E2C" w:rsidRDefault="00A42E2C" w:rsidP="00A42E2C">
      <w:pPr>
        <w:shd w:val="clear" w:color="auto" w:fill="FFFFFF"/>
        <w:spacing w:after="150" w:line="240" w:lineRule="auto"/>
        <w:rPr>
          <w:rFonts w:ascii="Source Sans Pro" w:eastAsia="Times New Roman" w:hAnsi="Source Sans Pro" w:cs="Times New Roman"/>
          <w:color w:val="1B1B1B"/>
          <w:sz w:val="18"/>
          <w:szCs w:val="18"/>
        </w:rPr>
      </w:pPr>
      <w:r w:rsidRPr="00A42E2C">
        <w:rPr>
          <w:rFonts w:ascii="Source Sans Pro" w:eastAsia="Times New Roman" w:hAnsi="Source Sans Pro" w:cs="Times New Roman"/>
          <w:color w:val="1B1B1B"/>
          <w:sz w:val="18"/>
          <w:szCs w:val="18"/>
        </w:rPr>
        <w:t>IR-2020-279, December 22, 2020</w:t>
      </w:r>
    </w:p>
    <w:p w14:paraId="07E43F1C" w14:textId="77777777" w:rsidR="00A42E2C" w:rsidRPr="00A42E2C" w:rsidRDefault="00A42E2C" w:rsidP="00A42E2C">
      <w:pPr>
        <w:shd w:val="clear" w:color="auto" w:fill="FFFFFF"/>
        <w:spacing w:after="150" w:line="240" w:lineRule="auto"/>
        <w:rPr>
          <w:rFonts w:ascii="Source Sans Pro" w:eastAsia="Times New Roman" w:hAnsi="Source Sans Pro" w:cs="Times New Roman"/>
          <w:color w:val="1B1B1B"/>
          <w:sz w:val="18"/>
          <w:szCs w:val="18"/>
        </w:rPr>
      </w:pPr>
      <w:r w:rsidRPr="00A42E2C">
        <w:rPr>
          <w:rFonts w:ascii="Source Sans Pro" w:eastAsia="Times New Roman" w:hAnsi="Source Sans Pro" w:cs="Times New Roman"/>
          <w:color w:val="1B1B1B"/>
          <w:sz w:val="18"/>
          <w:szCs w:val="18"/>
        </w:rPr>
        <w:t xml:space="preserve">WASHINGTON — The Internal Revenue Service today issued the 2021 optional standard mileage rates used to calculate the deductible costs of operating an automobile for business, charitable, </w:t>
      </w:r>
      <w:proofErr w:type="gramStart"/>
      <w:r w:rsidRPr="00A42E2C">
        <w:rPr>
          <w:rFonts w:ascii="Source Sans Pro" w:eastAsia="Times New Roman" w:hAnsi="Source Sans Pro" w:cs="Times New Roman"/>
          <w:color w:val="1B1B1B"/>
          <w:sz w:val="18"/>
          <w:szCs w:val="18"/>
        </w:rPr>
        <w:t>medical</w:t>
      </w:r>
      <w:proofErr w:type="gramEnd"/>
      <w:r w:rsidRPr="00A42E2C">
        <w:rPr>
          <w:rFonts w:ascii="Source Sans Pro" w:eastAsia="Times New Roman" w:hAnsi="Source Sans Pro" w:cs="Times New Roman"/>
          <w:color w:val="1B1B1B"/>
          <w:sz w:val="18"/>
          <w:szCs w:val="18"/>
        </w:rPr>
        <w:t xml:space="preserve"> or moving purposes.</w:t>
      </w:r>
    </w:p>
    <w:p w14:paraId="5A55DC6D" w14:textId="77777777" w:rsidR="00A42E2C" w:rsidRPr="00A42E2C" w:rsidRDefault="00A42E2C" w:rsidP="00A42E2C">
      <w:pPr>
        <w:shd w:val="clear" w:color="auto" w:fill="FFFFFF"/>
        <w:spacing w:after="150" w:line="240" w:lineRule="auto"/>
        <w:rPr>
          <w:rFonts w:ascii="Source Sans Pro" w:eastAsia="Times New Roman" w:hAnsi="Source Sans Pro" w:cs="Times New Roman"/>
          <w:color w:val="1B1B1B"/>
          <w:sz w:val="18"/>
          <w:szCs w:val="18"/>
        </w:rPr>
      </w:pPr>
      <w:r w:rsidRPr="00A42E2C">
        <w:rPr>
          <w:rFonts w:ascii="Source Sans Pro" w:eastAsia="Times New Roman" w:hAnsi="Source Sans Pro" w:cs="Times New Roman"/>
          <w:color w:val="1B1B1B"/>
          <w:sz w:val="18"/>
          <w:szCs w:val="18"/>
        </w:rPr>
        <w:t>Beginning on January 1, 2021, the standard mileage rates for the use of a car (also vans, pickups or panel trucks) will be:</w:t>
      </w:r>
    </w:p>
    <w:p w14:paraId="2AF637D6" w14:textId="77777777" w:rsidR="00A42E2C" w:rsidRPr="00A42E2C" w:rsidRDefault="00A42E2C" w:rsidP="00A42E2C">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1B1B1B"/>
          <w:sz w:val="18"/>
          <w:szCs w:val="18"/>
        </w:rPr>
      </w:pPr>
      <w:r w:rsidRPr="00A42E2C">
        <w:rPr>
          <w:rFonts w:ascii="Source Sans Pro" w:eastAsia="Times New Roman" w:hAnsi="Source Sans Pro" w:cs="Times New Roman"/>
          <w:color w:val="1B1B1B"/>
          <w:sz w:val="18"/>
          <w:szCs w:val="18"/>
        </w:rPr>
        <w:t>56 cents per mile driven for business use, down 1.5 cents from the rate for 2020,</w:t>
      </w:r>
    </w:p>
    <w:p w14:paraId="42C8D858" w14:textId="77777777" w:rsidR="00A42E2C" w:rsidRPr="00A42E2C" w:rsidRDefault="00A42E2C" w:rsidP="00A42E2C">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1B1B1B"/>
          <w:sz w:val="18"/>
          <w:szCs w:val="18"/>
        </w:rPr>
      </w:pPr>
      <w:r w:rsidRPr="00A42E2C">
        <w:rPr>
          <w:rFonts w:ascii="Source Sans Pro" w:eastAsia="Times New Roman" w:hAnsi="Source Sans Pro" w:cs="Times New Roman"/>
          <w:color w:val="1B1B1B"/>
          <w:sz w:val="18"/>
          <w:szCs w:val="18"/>
        </w:rPr>
        <w:t xml:space="preserve">16 cents per mile driven for medical, or moving purposes for qualified </w:t>
      </w:r>
      <w:proofErr w:type="gramStart"/>
      <w:r w:rsidRPr="00A42E2C">
        <w:rPr>
          <w:rFonts w:ascii="Source Sans Pro" w:eastAsia="Times New Roman" w:hAnsi="Source Sans Pro" w:cs="Times New Roman"/>
          <w:color w:val="1B1B1B"/>
          <w:sz w:val="18"/>
          <w:szCs w:val="18"/>
        </w:rPr>
        <w:t>active duty</w:t>
      </w:r>
      <w:proofErr w:type="gramEnd"/>
      <w:r w:rsidRPr="00A42E2C">
        <w:rPr>
          <w:rFonts w:ascii="Source Sans Pro" w:eastAsia="Times New Roman" w:hAnsi="Source Sans Pro" w:cs="Times New Roman"/>
          <w:color w:val="1B1B1B"/>
          <w:sz w:val="18"/>
          <w:szCs w:val="18"/>
        </w:rPr>
        <w:t xml:space="preserve"> members of the Armed Forces, down 1 cent from the rate for 2020, and</w:t>
      </w:r>
    </w:p>
    <w:p w14:paraId="2E208C60" w14:textId="77777777" w:rsidR="00A42E2C" w:rsidRPr="00A42E2C" w:rsidRDefault="00A42E2C" w:rsidP="00A42E2C">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1B1B1B"/>
          <w:sz w:val="18"/>
          <w:szCs w:val="18"/>
        </w:rPr>
      </w:pPr>
      <w:r w:rsidRPr="00A42E2C">
        <w:rPr>
          <w:rFonts w:ascii="Source Sans Pro" w:eastAsia="Times New Roman" w:hAnsi="Source Sans Pro" w:cs="Times New Roman"/>
          <w:color w:val="1B1B1B"/>
          <w:sz w:val="18"/>
          <w:szCs w:val="18"/>
        </w:rPr>
        <w:t>14 cents per mile driven in service of charitable organizations, the rate is set by statute and remains unchanged from 2020.</w:t>
      </w:r>
    </w:p>
    <w:p w14:paraId="31B601A3" w14:textId="77777777" w:rsidR="00A42E2C" w:rsidRPr="00A42E2C" w:rsidRDefault="00A42E2C" w:rsidP="00A42E2C">
      <w:pPr>
        <w:shd w:val="clear" w:color="auto" w:fill="FFFFFF"/>
        <w:spacing w:after="150" w:line="240" w:lineRule="auto"/>
        <w:rPr>
          <w:rFonts w:ascii="Source Sans Pro" w:eastAsia="Times New Roman" w:hAnsi="Source Sans Pro" w:cs="Times New Roman"/>
          <w:color w:val="1B1B1B"/>
          <w:sz w:val="18"/>
          <w:szCs w:val="18"/>
        </w:rPr>
      </w:pPr>
      <w:r w:rsidRPr="00A42E2C">
        <w:rPr>
          <w:rFonts w:ascii="Source Sans Pro" w:eastAsia="Times New Roman" w:hAnsi="Source Sans Pro" w:cs="Times New Roman"/>
          <w:color w:val="1B1B1B"/>
          <w:sz w:val="18"/>
          <w:szCs w:val="18"/>
        </w:rPr>
        <w:t>The standard mileage rate for business use is based on an annual study of the fixed and variable costs of operating an automobile. The rate for medical and moving purposes is based on the variable costs.</w:t>
      </w:r>
    </w:p>
    <w:p w14:paraId="2E699DFC" w14:textId="77777777" w:rsidR="00A42E2C" w:rsidRPr="00A42E2C" w:rsidRDefault="00A42E2C" w:rsidP="00A42E2C">
      <w:pPr>
        <w:shd w:val="clear" w:color="auto" w:fill="FFFFFF"/>
        <w:spacing w:after="150" w:line="240" w:lineRule="auto"/>
        <w:rPr>
          <w:rFonts w:ascii="Source Sans Pro" w:eastAsia="Times New Roman" w:hAnsi="Source Sans Pro" w:cs="Times New Roman"/>
          <w:color w:val="1B1B1B"/>
          <w:sz w:val="18"/>
          <w:szCs w:val="18"/>
        </w:rPr>
      </w:pPr>
      <w:r w:rsidRPr="00A42E2C">
        <w:rPr>
          <w:rFonts w:ascii="Source Sans Pro" w:eastAsia="Times New Roman" w:hAnsi="Source Sans Pro" w:cs="Times New Roman"/>
          <w:color w:val="1B1B1B"/>
          <w:sz w:val="18"/>
          <w:szCs w:val="18"/>
        </w:rPr>
        <w:t>It is important to note that under the </w:t>
      </w:r>
      <w:hyperlink r:id="rId5" w:tooltip="Law change affects moving, mileage and travel expenses" w:history="1">
        <w:r w:rsidRPr="00A42E2C">
          <w:rPr>
            <w:rFonts w:ascii="Source Sans Pro" w:eastAsia="Times New Roman" w:hAnsi="Source Sans Pro" w:cs="Times New Roman"/>
            <w:color w:val="6E41A0"/>
            <w:sz w:val="18"/>
            <w:szCs w:val="18"/>
            <w:u w:val="single"/>
          </w:rPr>
          <w:t>Tax Cuts and Jobs Act</w:t>
        </w:r>
      </w:hyperlink>
      <w:r w:rsidRPr="00A42E2C">
        <w:rPr>
          <w:rFonts w:ascii="Source Sans Pro" w:eastAsia="Times New Roman" w:hAnsi="Source Sans Pro" w:cs="Times New Roman"/>
          <w:color w:val="1B1B1B"/>
          <w:sz w:val="18"/>
          <w:szCs w:val="18"/>
        </w:rPr>
        <w:t>, taxpayers cannot claim a miscellaneous itemized deduction for unreimbursed employee travel expenses. Taxpayers also cannot claim a deduction for moving expenses, unless they are members of the Armed Forces on active duty moving under orders to a permanent change of station. For more details see </w:t>
      </w:r>
      <w:hyperlink r:id="rId6" w:tooltip="Topic No. 455 Moving Expenses for Members of the Armed Forces" w:history="1">
        <w:r w:rsidRPr="00A42E2C">
          <w:rPr>
            <w:rFonts w:ascii="Source Sans Pro" w:eastAsia="Times New Roman" w:hAnsi="Source Sans Pro" w:cs="Times New Roman"/>
            <w:color w:val="6E41A0"/>
            <w:sz w:val="18"/>
            <w:szCs w:val="18"/>
            <w:u w:val="single"/>
          </w:rPr>
          <w:t>Moving Expenses for Members of the Armed Forces</w:t>
        </w:r>
      </w:hyperlink>
      <w:r w:rsidRPr="00A42E2C">
        <w:rPr>
          <w:rFonts w:ascii="Source Sans Pro" w:eastAsia="Times New Roman" w:hAnsi="Source Sans Pro" w:cs="Times New Roman"/>
          <w:color w:val="1B1B1B"/>
          <w:sz w:val="18"/>
          <w:szCs w:val="18"/>
        </w:rPr>
        <w:t>.</w:t>
      </w:r>
    </w:p>
    <w:p w14:paraId="24DEA93C" w14:textId="77777777" w:rsidR="00A42E2C" w:rsidRPr="00A42E2C" w:rsidRDefault="00A42E2C" w:rsidP="00A42E2C">
      <w:pPr>
        <w:shd w:val="clear" w:color="auto" w:fill="FFFFFF"/>
        <w:spacing w:after="150" w:line="240" w:lineRule="auto"/>
        <w:rPr>
          <w:rFonts w:ascii="Source Sans Pro" w:eastAsia="Times New Roman" w:hAnsi="Source Sans Pro" w:cs="Times New Roman"/>
          <w:color w:val="1B1B1B"/>
          <w:sz w:val="18"/>
          <w:szCs w:val="18"/>
        </w:rPr>
      </w:pPr>
      <w:r w:rsidRPr="00A42E2C">
        <w:rPr>
          <w:rFonts w:ascii="Source Sans Pro" w:eastAsia="Times New Roman" w:hAnsi="Source Sans Pro" w:cs="Times New Roman"/>
          <w:color w:val="1B1B1B"/>
          <w:sz w:val="18"/>
          <w:szCs w:val="18"/>
        </w:rPr>
        <w:t>Taxpayers always have the option of calculating the </w:t>
      </w:r>
      <w:hyperlink r:id="rId7" w:tooltip="Publication 463 (2019),  Travel, Gift, and Car Expenses" w:history="1">
        <w:r w:rsidRPr="00A42E2C">
          <w:rPr>
            <w:rFonts w:ascii="Source Sans Pro" w:eastAsia="Times New Roman" w:hAnsi="Source Sans Pro" w:cs="Times New Roman"/>
            <w:color w:val="6E41A0"/>
            <w:sz w:val="18"/>
            <w:szCs w:val="18"/>
            <w:u w:val="single"/>
          </w:rPr>
          <w:t>actual costs</w:t>
        </w:r>
      </w:hyperlink>
      <w:r w:rsidRPr="00A42E2C">
        <w:rPr>
          <w:rFonts w:ascii="Source Sans Pro" w:eastAsia="Times New Roman" w:hAnsi="Source Sans Pro" w:cs="Times New Roman"/>
          <w:color w:val="1B1B1B"/>
          <w:sz w:val="18"/>
          <w:szCs w:val="18"/>
        </w:rPr>
        <w:t> of using their vehicle rather than using the standard mileage rates.</w:t>
      </w:r>
    </w:p>
    <w:p w14:paraId="0D0F30BA" w14:textId="77777777" w:rsidR="00A42E2C" w:rsidRPr="00A42E2C" w:rsidRDefault="00A42E2C" w:rsidP="00A42E2C">
      <w:pPr>
        <w:shd w:val="clear" w:color="auto" w:fill="FFFFFF"/>
        <w:spacing w:after="150" w:line="240" w:lineRule="auto"/>
        <w:rPr>
          <w:rFonts w:ascii="Source Sans Pro" w:eastAsia="Times New Roman" w:hAnsi="Source Sans Pro" w:cs="Times New Roman"/>
          <w:color w:val="1B1B1B"/>
          <w:sz w:val="18"/>
          <w:szCs w:val="18"/>
        </w:rPr>
      </w:pPr>
      <w:r w:rsidRPr="00A42E2C">
        <w:rPr>
          <w:rFonts w:ascii="Source Sans Pro" w:eastAsia="Times New Roman" w:hAnsi="Source Sans Pro" w:cs="Times New Roman"/>
          <w:color w:val="1B1B1B"/>
          <w:sz w:val="18"/>
          <w:szCs w:val="18"/>
        </w:rPr>
        <w:t>Taxpayers can use the standard mileage rate but must opt to use it in the first year the car is available for </w:t>
      </w:r>
      <w:hyperlink r:id="rId8" w:history="1">
        <w:r w:rsidRPr="00A42E2C">
          <w:rPr>
            <w:rFonts w:ascii="Source Sans Pro" w:eastAsia="Times New Roman" w:hAnsi="Source Sans Pro" w:cs="Times New Roman"/>
            <w:color w:val="6E41A0"/>
            <w:sz w:val="18"/>
            <w:szCs w:val="18"/>
            <w:u w:val="single"/>
          </w:rPr>
          <w:t>business use</w:t>
        </w:r>
      </w:hyperlink>
      <w:r w:rsidRPr="00A42E2C">
        <w:rPr>
          <w:rFonts w:ascii="Source Sans Pro" w:eastAsia="Times New Roman" w:hAnsi="Source Sans Pro" w:cs="Times New Roman"/>
          <w:color w:val="1B1B1B"/>
          <w:sz w:val="18"/>
          <w:szCs w:val="18"/>
        </w:rPr>
        <w:t>. Then, in later years, they can choose either the standard mileage rate or actual expenses. Leased vehicles must use the standard mileage rate method for the entire lease period (including renewals) if the standard mileage rate is chosen.</w:t>
      </w:r>
    </w:p>
    <w:p w14:paraId="6A35AD5C" w14:textId="1C31A624" w:rsidR="008E5607" w:rsidRDefault="00A42E2C">
      <w:hyperlink r:id="rId9" w:tooltip="N-2021-02" w:history="1">
        <w:r w:rsidRPr="00A42E2C">
          <w:rPr>
            <w:rFonts w:ascii="Source Sans Pro" w:hAnsi="Source Sans Pro"/>
            <w:color w:val="6E41A0"/>
            <w:sz w:val="18"/>
            <w:szCs w:val="18"/>
            <w:u w:val="single"/>
            <w:shd w:val="clear" w:color="auto" w:fill="FFFFFF"/>
          </w:rPr>
          <w:t>Notice 2021-02 </w:t>
        </w:r>
        <w:r w:rsidRPr="00A42E2C">
          <w:rPr>
            <w:rFonts w:ascii="Source Sans Pro" w:hAnsi="Source Sans Pro"/>
            <w:color w:val="00599C"/>
            <w:sz w:val="18"/>
            <w:szCs w:val="18"/>
            <w:u w:val="single"/>
            <w:bdr w:val="single" w:sz="6" w:space="0" w:color="00599C" w:frame="1"/>
          </w:rPr>
          <w:t>PDF</w:t>
        </w:r>
      </w:hyperlink>
      <w:r w:rsidRPr="00A42E2C">
        <w:rPr>
          <w:rFonts w:ascii="Source Sans Pro" w:hAnsi="Source Sans Pro"/>
          <w:color w:val="1B1B1B"/>
          <w:sz w:val="18"/>
          <w:szCs w:val="18"/>
          <w:shd w:val="clear" w:color="auto" w:fill="FFFFFF"/>
        </w:rPr>
        <w:t>, contains the optional 2021 standard mileage rates, as well as the maximum automobile cost used to calculate the allowance under a fixed and variable rate (FAVR) plan. In addition, the notice provides the maximum fair market value of employer-provided automobiles first made available to employees for personal use in calendar year 2021 for which employers may use the fleet-average valuation rule in or the vehicle cents-per-mile valuation rule.</w:t>
      </w:r>
    </w:p>
    <w:sectPr w:rsidR="008E5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4A33A0"/>
    <w:multiLevelType w:val="multilevel"/>
    <w:tmpl w:val="6556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E2C"/>
    <w:rsid w:val="008E5607"/>
    <w:rsid w:val="00A42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3296C"/>
  <w15:chartTrackingRefBased/>
  <w15:docId w15:val="{01B6D522-D569-4BFE-8F10-9AD9CE03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E2C"/>
    <w:rPr>
      <w:color w:val="0563C1" w:themeColor="hyperlink"/>
      <w:u w:val="single"/>
    </w:rPr>
  </w:style>
  <w:style w:type="character" w:styleId="UnresolvedMention">
    <w:name w:val="Unresolved Mention"/>
    <w:basedOn w:val="DefaultParagraphFont"/>
    <w:uiPriority w:val="99"/>
    <w:semiHidden/>
    <w:unhideWhenUsed/>
    <w:rsid w:val="00A42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975800">
      <w:bodyDiv w:val="1"/>
      <w:marLeft w:val="0"/>
      <w:marRight w:val="0"/>
      <w:marTop w:val="0"/>
      <w:marBottom w:val="0"/>
      <w:divBdr>
        <w:top w:val="none" w:sz="0" w:space="0" w:color="auto"/>
        <w:left w:val="none" w:sz="0" w:space="0" w:color="auto"/>
        <w:bottom w:val="none" w:sz="0" w:space="0" w:color="auto"/>
        <w:right w:val="none" w:sz="0" w:space="0" w:color="auto"/>
      </w:divBdr>
    </w:div>
    <w:div w:id="15591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taxtopics/tc510" TargetMode="External"/><Relationship Id="rId3" Type="http://schemas.openxmlformats.org/officeDocument/2006/relationships/settings" Target="settings.xml"/><Relationship Id="rId7" Type="http://schemas.openxmlformats.org/officeDocument/2006/relationships/hyperlink" Target="https://www.irs.gov/publications/p4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taxtopics/tc455" TargetMode="External"/><Relationship Id="rId11" Type="http://schemas.openxmlformats.org/officeDocument/2006/relationships/theme" Target="theme/theme1.xml"/><Relationship Id="rId5" Type="http://schemas.openxmlformats.org/officeDocument/2006/relationships/hyperlink" Target="https://www.irs.gov/newsroom/law-change-affects-moving-mileage-and-travel-expens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rs.gov/pub/irs-drop/n-21-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Assistant</dc:creator>
  <cp:keywords/>
  <dc:description/>
  <cp:lastModifiedBy>Administrative Assistant</cp:lastModifiedBy>
  <cp:revision>1</cp:revision>
  <dcterms:created xsi:type="dcterms:W3CDTF">2020-12-29T17:28:00Z</dcterms:created>
  <dcterms:modified xsi:type="dcterms:W3CDTF">2020-12-29T17:32:00Z</dcterms:modified>
</cp:coreProperties>
</file>